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57" w:rsidRPr="000E6357" w:rsidRDefault="000E6357" w:rsidP="000E6357">
      <w:pPr>
        <w:jc w:val="center"/>
        <w:rPr>
          <w:rFonts w:ascii="Century Gothic" w:hAnsi="Century Gothic"/>
          <w:b/>
        </w:rPr>
      </w:pPr>
      <w:r w:rsidRPr="000E6357">
        <w:rPr>
          <w:rFonts w:ascii="Century Gothic" w:hAnsi="Century Gothic"/>
          <w:b/>
        </w:rPr>
        <w:t>RESOLUÇÃO SEFA N. 1.443/2018</w:t>
      </w:r>
    </w:p>
    <w:p w:rsidR="000E6357" w:rsidRPr="000E6357" w:rsidRDefault="000E6357" w:rsidP="005332E9">
      <w:pPr>
        <w:jc w:val="both"/>
        <w:rPr>
          <w:rFonts w:ascii="Century Gothic" w:hAnsi="Century Gothic"/>
          <w:color w:val="FF0000"/>
        </w:rPr>
      </w:pPr>
      <w:r w:rsidRPr="000E6357">
        <w:rPr>
          <w:rFonts w:ascii="Century Gothic" w:hAnsi="Century Gothic"/>
          <w:color w:val="FF0000"/>
        </w:rPr>
        <w:t>Publicado no DOE PR de 09.11.2018</w:t>
      </w:r>
    </w:p>
    <w:p w:rsidR="000E6357" w:rsidRDefault="000E6357" w:rsidP="000E6357">
      <w:pPr>
        <w:ind w:left="4248"/>
        <w:jc w:val="both"/>
        <w:rPr>
          <w:rFonts w:ascii="Century Gothic" w:hAnsi="Century Gothic"/>
        </w:rPr>
      </w:pPr>
      <w:r w:rsidRPr="000E6357">
        <w:rPr>
          <w:rFonts w:ascii="Century Gothic" w:hAnsi="Century Gothic"/>
        </w:rPr>
        <w:t>SÚMULA: Publica relação com a identificação dos atos normativos relativos às isenções, aos incentivos e aos benefícios fiscais ou financeiro-fiscais, vigentes em 8 de agosto de 2017, instituídos em desacordo com o disposto na alínea “g” do inciso XII do § 2º do ar</w:t>
      </w:r>
      <w:r>
        <w:rPr>
          <w:rFonts w:ascii="Century Gothic" w:hAnsi="Century Gothic"/>
        </w:rPr>
        <w:t>t. 155 da Constituição Federal.</w:t>
      </w:r>
    </w:p>
    <w:p w:rsidR="000E6357" w:rsidRDefault="000E6357" w:rsidP="000E6357">
      <w:pPr>
        <w:ind w:firstLine="708"/>
        <w:jc w:val="both"/>
        <w:rPr>
          <w:rFonts w:ascii="Century Gothic" w:hAnsi="Century Gothic"/>
        </w:rPr>
      </w:pPr>
      <w:r w:rsidRPr="000E6357">
        <w:rPr>
          <w:rFonts w:ascii="Century Gothic" w:hAnsi="Century Gothic"/>
        </w:rPr>
        <w:t>O SECRETÁRIO DE ESTADO DA FAZENDA, com fundamento no inciso XIV do art. 45 da Lei n. 8.485, de 3 de junho de 1987, e considerando o disposto na Lei Complementar Federal n. 160, de 7 de agosto de 2017, no Convênio ICMS 190, de 15 de dezembro de 2017, e na Resolução CONFAZ n. 9, de 25 de outubro de 2018, RESOLVE:</w:t>
      </w:r>
    </w:p>
    <w:p w:rsidR="000E6357" w:rsidRDefault="000E6357" w:rsidP="000E6357">
      <w:pPr>
        <w:ind w:firstLine="708"/>
        <w:jc w:val="both"/>
        <w:rPr>
          <w:rFonts w:ascii="Century Gothic" w:hAnsi="Century Gothic"/>
        </w:rPr>
      </w:pPr>
      <w:r w:rsidRPr="000E6357">
        <w:rPr>
          <w:rFonts w:ascii="Century Gothic" w:hAnsi="Century Gothic"/>
        </w:rPr>
        <w:t>Art. 1.º Fica publicada, em atendimento ao disposto na Lei Complementar Federal n. 160, de 7 de agosto de 2017, e no inciso I da cláusula segunda do Convênio ICMS 190, de 15 de dezembro de 2017, a relação com a identificação dos atos normativos relativos às isenções, aos incentivos e aos benefícios fiscais ou financeiro-fiscais, vigentes em 8 de agosto de 2017, instituídos pela legislação estadual em desacordo com o disposto na alínea “g” do inciso XII do § 2º do art. 155 da Constituição Federal, confor</w:t>
      </w:r>
      <w:r>
        <w:rPr>
          <w:rFonts w:ascii="Century Gothic" w:hAnsi="Century Gothic"/>
        </w:rPr>
        <w:t>me Anexo Único desta Resolução.</w:t>
      </w:r>
    </w:p>
    <w:p w:rsidR="000E6357" w:rsidRDefault="000E6357" w:rsidP="000E6357">
      <w:pPr>
        <w:ind w:firstLine="708"/>
        <w:jc w:val="both"/>
        <w:rPr>
          <w:rFonts w:ascii="Century Gothic" w:hAnsi="Century Gothic"/>
        </w:rPr>
      </w:pPr>
      <w:r w:rsidRPr="000E6357">
        <w:rPr>
          <w:rFonts w:ascii="Century Gothic" w:hAnsi="Century Gothic"/>
        </w:rPr>
        <w:t>Art. 2.º Esta Resolução entra em v</w:t>
      </w:r>
      <w:r>
        <w:rPr>
          <w:rFonts w:ascii="Century Gothic" w:hAnsi="Century Gothic"/>
        </w:rPr>
        <w:t>igor na data de sua publicação.</w:t>
      </w:r>
    </w:p>
    <w:p w:rsidR="000E6357" w:rsidRDefault="000E6357" w:rsidP="000E6357">
      <w:pPr>
        <w:ind w:firstLine="708"/>
        <w:jc w:val="both"/>
        <w:rPr>
          <w:rFonts w:ascii="Century Gothic" w:hAnsi="Century Gothic"/>
        </w:rPr>
      </w:pPr>
      <w:r w:rsidRPr="000E6357">
        <w:rPr>
          <w:rFonts w:ascii="Century Gothic" w:hAnsi="Century Gothic"/>
        </w:rPr>
        <w:t>Secretaria de Estado da Fazenda, C</w:t>
      </w:r>
      <w:r>
        <w:rPr>
          <w:rFonts w:ascii="Century Gothic" w:hAnsi="Century Gothic"/>
        </w:rPr>
        <w:t>uritiba, 29 de outubro de 2018.</w:t>
      </w:r>
    </w:p>
    <w:p w:rsidR="000E6357" w:rsidRDefault="000E6357" w:rsidP="000E6357">
      <w:pPr>
        <w:spacing w:after="0"/>
        <w:jc w:val="center"/>
        <w:rPr>
          <w:rFonts w:ascii="Century Gothic" w:hAnsi="Century Gothic"/>
        </w:rPr>
      </w:pPr>
      <w:r w:rsidRPr="000E6357">
        <w:rPr>
          <w:rFonts w:ascii="Century Gothic" w:hAnsi="Century Gothic"/>
        </w:rPr>
        <w:t>JOSÉ LUIZ BOVO</w:t>
      </w:r>
    </w:p>
    <w:p w:rsidR="00D80EAB" w:rsidRDefault="000E6357" w:rsidP="000E6357">
      <w:pPr>
        <w:jc w:val="center"/>
        <w:rPr>
          <w:rFonts w:ascii="Century Gothic" w:hAnsi="Century Gothic"/>
        </w:rPr>
      </w:pPr>
      <w:r w:rsidRPr="000E6357">
        <w:rPr>
          <w:rFonts w:ascii="Century Gothic" w:hAnsi="Century Gothic"/>
        </w:rPr>
        <w:t>SECRETÁRIO DE ESTADO DA FAZENDA 117066/2018</w:t>
      </w:r>
    </w:p>
    <w:p w:rsidR="000E6357" w:rsidRDefault="000E6357" w:rsidP="000E6357">
      <w:pPr>
        <w:jc w:val="right"/>
        <w:rPr>
          <w:rFonts w:ascii="Century Gothic" w:hAnsi="Century Gothic"/>
        </w:rPr>
      </w:pPr>
      <w:r w:rsidRPr="000E6357">
        <w:rPr>
          <w:rFonts w:ascii="Century Gothic" w:hAnsi="Century Gothic"/>
        </w:rPr>
        <w:t>117066/2018</w:t>
      </w:r>
    </w:p>
    <w:p w:rsidR="000E6357" w:rsidRPr="000E6357" w:rsidRDefault="000E6357" w:rsidP="000E6357">
      <w:pPr>
        <w:spacing w:after="0"/>
        <w:jc w:val="center"/>
        <w:rPr>
          <w:rFonts w:ascii="Century Gothic" w:hAnsi="Century Gothic"/>
        </w:rPr>
      </w:pPr>
      <w:r w:rsidRPr="000E6357">
        <w:rPr>
          <w:rFonts w:ascii="Century Gothic" w:hAnsi="Century Gothic"/>
        </w:rPr>
        <w:t>ANEXO ÚNICO</w:t>
      </w:r>
    </w:p>
    <w:p w:rsidR="000E6357" w:rsidRDefault="000E6357" w:rsidP="000E6357">
      <w:pPr>
        <w:jc w:val="center"/>
        <w:rPr>
          <w:rFonts w:ascii="Century Gothic" w:hAnsi="Century Gothic"/>
        </w:rPr>
      </w:pPr>
      <w:r w:rsidRPr="000E6357">
        <w:rPr>
          <w:rFonts w:ascii="Century Gothic" w:hAnsi="Century Gothic"/>
        </w:rPr>
        <w:t>(a que se refere o art. 1º da Resolução SEFA n. 1.443, de 29 de outubro de 2018)</w:t>
      </w:r>
    </w:p>
    <w:p w:rsidR="000E6357" w:rsidRDefault="000E6357" w:rsidP="000E6357">
      <w:pPr>
        <w:jc w:val="center"/>
        <w:rPr>
          <w:rFonts w:ascii="Century Gothic" w:hAnsi="Century Gothic"/>
        </w:rPr>
      </w:pPr>
      <w:r w:rsidRPr="000E6357">
        <w:rPr>
          <w:rFonts w:ascii="Century Gothic" w:hAnsi="Century Gothic"/>
        </w:rPr>
        <w:t>RELAÇÃO DOS ATOS NORMATIVOS RELATIVOS ÀS ISENÇÕES, AOS INCENTIVOS E AOS BENEFÍCIOS FISCAIS OU FINANCEIROSFISCAIS DE QUE TRATA O INCISO I DO CAPUT DO ART. 3º DA LEI COMPLEMENTAR Nº 160, DE 7 DE AGOSTO DE 2017</w:t>
      </w:r>
    </w:p>
    <w:tbl>
      <w:tblPr>
        <w:tblStyle w:val="Tabelacomgrade"/>
        <w:tblW w:w="0" w:type="auto"/>
        <w:tblLayout w:type="fixed"/>
        <w:tblLook w:val="04A0"/>
      </w:tblPr>
      <w:tblGrid>
        <w:gridCol w:w="817"/>
        <w:gridCol w:w="854"/>
        <w:gridCol w:w="1272"/>
        <w:gridCol w:w="1878"/>
        <w:gridCol w:w="1331"/>
        <w:gridCol w:w="1186"/>
        <w:gridCol w:w="1142"/>
        <w:gridCol w:w="1375"/>
      </w:tblGrid>
      <w:tr w:rsidR="000E6357" w:rsidRPr="000E6357" w:rsidTr="000E6357">
        <w:tc>
          <w:tcPr>
            <w:tcW w:w="9855" w:type="dxa"/>
            <w:gridSpan w:val="8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ATOS NORMATIVOS VIGENTES EM 8 DE AGOSTO DE 2017</w:t>
            </w:r>
          </w:p>
        </w:tc>
      </w:tr>
      <w:tr w:rsidR="000E6357" w:rsidRPr="000E6357" w:rsidTr="000E6357">
        <w:tc>
          <w:tcPr>
            <w:tcW w:w="4821" w:type="dxa"/>
            <w:gridSpan w:val="4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PARANÁ (1)</w:t>
            </w:r>
          </w:p>
        </w:tc>
        <w:tc>
          <w:tcPr>
            <w:tcW w:w="1331" w:type="dxa"/>
            <w:vMerge w:val="restart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DISPOSITIVO ESPECÍFICO (6)</w:t>
            </w:r>
          </w:p>
        </w:tc>
        <w:tc>
          <w:tcPr>
            <w:tcW w:w="1186" w:type="dxa"/>
            <w:vMerge w:val="restart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DATA DE PUBLICAÇÃO NO DOE (7)</w:t>
            </w:r>
          </w:p>
        </w:tc>
        <w:tc>
          <w:tcPr>
            <w:tcW w:w="1142" w:type="dxa"/>
            <w:vMerge w:val="restart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TERMO INICIAL (8)</w:t>
            </w:r>
          </w:p>
        </w:tc>
        <w:tc>
          <w:tcPr>
            <w:tcW w:w="1375" w:type="dxa"/>
            <w:vMerge w:val="restart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OBSERVAÇÕES (9)</w:t>
            </w:r>
          </w:p>
        </w:tc>
      </w:tr>
      <w:tr w:rsidR="000E6357" w:rsidRPr="000E6357" w:rsidTr="000E6357">
        <w:tc>
          <w:tcPr>
            <w:tcW w:w="817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ITEM (2)</w:t>
            </w:r>
          </w:p>
        </w:tc>
        <w:tc>
          <w:tcPr>
            <w:tcW w:w="854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ATO (3)</w:t>
            </w:r>
          </w:p>
        </w:tc>
        <w:tc>
          <w:tcPr>
            <w:tcW w:w="127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NÚMERO (4)</w:t>
            </w:r>
          </w:p>
        </w:tc>
        <w:tc>
          <w:tcPr>
            <w:tcW w:w="1878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EMENTA OU ASSUNTO (5)</w:t>
            </w:r>
          </w:p>
        </w:tc>
        <w:tc>
          <w:tcPr>
            <w:tcW w:w="1331" w:type="dxa"/>
            <w:vMerge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375" w:type="dxa"/>
            <w:vMerge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6357" w:rsidRPr="000E6357" w:rsidTr="000E6357">
        <w:tc>
          <w:tcPr>
            <w:tcW w:w="817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54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Lei</w:t>
            </w:r>
          </w:p>
        </w:tc>
        <w:tc>
          <w:tcPr>
            <w:tcW w:w="127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11.580, de 14/11/1996</w:t>
            </w:r>
          </w:p>
        </w:tc>
        <w:tc>
          <w:tcPr>
            <w:tcW w:w="1878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 xml:space="preserve">Autoriza o contribuinte do ramo de fornecimento de alimentação e bebidas em bares, restaurantes e estabelecimentos </w:t>
            </w:r>
            <w:r w:rsidRPr="000E6357">
              <w:rPr>
                <w:rFonts w:ascii="Century Gothic" w:hAnsi="Century Gothic"/>
                <w:sz w:val="16"/>
                <w:szCs w:val="16"/>
              </w:rPr>
              <w:lastRenderedPageBreak/>
              <w:t>similares, em substituição ao regime normal de apuração do ICMS, apurar o imposto devido mensalmente mediante aplicação do percentual de 3,2% (três inteiros e dois décimos por cento) sobre a receita bruta auferida, excluindo-se desta os valores correspondentes a saídas de mercadorias abrangidas por substituição tributária.</w:t>
            </w:r>
          </w:p>
        </w:tc>
        <w:tc>
          <w:tcPr>
            <w:tcW w:w="1331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lastRenderedPageBreak/>
              <w:t>§ 9º do art. 25, acrescentada pela Lei n. 13.961, de 19/12/2002</w:t>
            </w:r>
          </w:p>
        </w:tc>
        <w:tc>
          <w:tcPr>
            <w:tcW w:w="1186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29/01/2003</w:t>
            </w:r>
          </w:p>
        </w:tc>
        <w:tc>
          <w:tcPr>
            <w:tcW w:w="114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29/01/2003</w:t>
            </w:r>
          </w:p>
        </w:tc>
        <w:tc>
          <w:tcPr>
            <w:tcW w:w="1375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Alterada Lei n. 18.573, de 30/09/2015</w:t>
            </w:r>
          </w:p>
        </w:tc>
      </w:tr>
      <w:tr w:rsidR="000E6357" w:rsidRPr="000E6357" w:rsidTr="000E6357">
        <w:tc>
          <w:tcPr>
            <w:tcW w:w="817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lastRenderedPageBreak/>
              <w:t>2</w:t>
            </w:r>
          </w:p>
        </w:tc>
        <w:tc>
          <w:tcPr>
            <w:tcW w:w="854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Lei</w:t>
            </w:r>
          </w:p>
        </w:tc>
        <w:tc>
          <w:tcPr>
            <w:tcW w:w="127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11.580, de 14/11/1996</w:t>
            </w:r>
          </w:p>
        </w:tc>
        <w:tc>
          <w:tcPr>
            <w:tcW w:w="1878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Autoriza o Secretário da Fazenda a, na forma do inciso III do art. 172 do Código Tributário Nacional, remitir créditos tributários cujo valor atualizado seja inferior à multa mínima prevista nesta Lei</w:t>
            </w:r>
          </w:p>
        </w:tc>
        <w:tc>
          <w:tcPr>
            <w:tcW w:w="1331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Inciso I do art. 63</w:t>
            </w:r>
          </w:p>
        </w:tc>
        <w:tc>
          <w:tcPr>
            <w:tcW w:w="1186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14/11/1996</w:t>
            </w:r>
          </w:p>
        </w:tc>
        <w:tc>
          <w:tcPr>
            <w:tcW w:w="114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01/11/1996</w:t>
            </w:r>
          </w:p>
        </w:tc>
        <w:tc>
          <w:tcPr>
            <w:tcW w:w="1375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E6357" w:rsidRPr="000E6357" w:rsidTr="000E6357">
        <w:tc>
          <w:tcPr>
            <w:tcW w:w="817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54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Decreto</w:t>
            </w:r>
          </w:p>
        </w:tc>
        <w:tc>
          <w:tcPr>
            <w:tcW w:w="127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6.080, de 28/9/2012 (RICMS)</w:t>
            </w:r>
          </w:p>
        </w:tc>
        <w:tc>
          <w:tcPr>
            <w:tcW w:w="1878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Autoriza o contribuinte do ramo de fornecimento de alimentação e bebidas em bares, restaurantes e estabelecimentos similares, em substituição ao regime normal de apuração do ICMS, calcular o imposto devido mensalmente mediante aplicação do percentual de 3,2% (três inteiros e dois décimos por cento) sobre a receita bruta auferida</w:t>
            </w:r>
          </w:p>
        </w:tc>
        <w:tc>
          <w:tcPr>
            <w:tcW w:w="1331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Art. 25</w:t>
            </w:r>
          </w:p>
        </w:tc>
        <w:tc>
          <w:tcPr>
            <w:tcW w:w="1186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28/09/2012</w:t>
            </w:r>
          </w:p>
        </w:tc>
        <w:tc>
          <w:tcPr>
            <w:tcW w:w="114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01/10/2012</w:t>
            </w:r>
          </w:p>
        </w:tc>
        <w:tc>
          <w:tcPr>
            <w:tcW w:w="1375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Alterado pelo Decreto n. n. 2.003 de 24/07/2015 Atualmente a matéria está prevista no art. 37 do RICMS (Decreto n. 7.871/2017)</w:t>
            </w:r>
          </w:p>
        </w:tc>
      </w:tr>
      <w:tr w:rsidR="000E6357" w:rsidRPr="000E6357" w:rsidTr="000E6357">
        <w:tc>
          <w:tcPr>
            <w:tcW w:w="817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54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Decreto</w:t>
            </w:r>
          </w:p>
        </w:tc>
        <w:tc>
          <w:tcPr>
            <w:tcW w:w="127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6.080, de 28/9/2012 (RICMS)</w:t>
            </w:r>
          </w:p>
        </w:tc>
        <w:tc>
          <w:tcPr>
            <w:tcW w:w="1878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 xml:space="preserve">Autoriza o Secretário de Estado da Fazenda, na forma do inciso III do art. 172 do Código Tributário Nacional, remitir créditos tributários, cujo valor atualizado seja </w:t>
            </w:r>
            <w:r w:rsidRPr="000E6357">
              <w:rPr>
                <w:rFonts w:ascii="Century Gothic" w:hAnsi="Century Gothic"/>
                <w:sz w:val="16"/>
                <w:szCs w:val="16"/>
              </w:rPr>
              <w:lastRenderedPageBreak/>
              <w:t>inferior ao correspondente à multa mínima prevista no § 4º do art. 674 deste Regulamento (equivalente a 4 (quatro) UPF/PR)</w:t>
            </w:r>
          </w:p>
        </w:tc>
        <w:tc>
          <w:tcPr>
            <w:tcW w:w="1331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lastRenderedPageBreak/>
              <w:t>Art. 683</w:t>
            </w:r>
          </w:p>
        </w:tc>
        <w:tc>
          <w:tcPr>
            <w:tcW w:w="1186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28/09/2012</w:t>
            </w:r>
          </w:p>
        </w:tc>
        <w:tc>
          <w:tcPr>
            <w:tcW w:w="1142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01/10/2012</w:t>
            </w:r>
          </w:p>
        </w:tc>
        <w:tc>
          <w:tcPr>
            <w:tcW w:w="1375" w:type="dxa"/>
          </w:tcPr>
          <w:p w:rsidR="000E6357" w:rsidRPr="000E6357" w:rsidRDefault="000E6357" w:rsidP="000E635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0E6357">
              <w:rPr>
                <w:rFonts w:ascii="Century Gothic" w:hAnsi="Century Gothic"/>
                <w:sz w:val="16"/>
                <w:szCs w:val="16"/>
              </w:rPr>
              <w:t>Atualmente a matéria está prevista no art. 601 do RICMS (Decreto n. 7.871/2017)</w:t>
            </w:r>
          </w:p>
        </w:tc>
      </w:tr>
    </w:tbl>
    <w:p w:rsidR="00CA41D1" w:rsidRDefault="00CA41D1" w:rsidP="00CA41D1">
      <w:pPr>
        <w:jc w:val="both"/>
        <w:rPr>
          <w:rFonts w:ascii="Century Gothic" w:hAnsi="Century Gothic"/>
          <w:sz w:val="16"/>
          <w:szCs w:val="16"/>
        </w:rPr>
      </w:pPr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>(1) Unidade federada: informar a unidade federada declarante</w:t>
      </w:r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>(2) Item: informar número sequencial em arábico</w:t>
      </w:r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>(3) Atos: informar a espécie do ato normativo, tais como: leis, decretos, portarias, resoluções</w:t>
      </w:r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>(4) Número: informar o número do ato normativo e das suas alterações</w:t>
      </w:r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>(5) Ementa ou assunto: informar a ementa do ato normativo ou o assunto na hipótese em que não haja ementa ou essa não seja suficiente para a identificação dos benefícios fiscais</w:t>
      </w:r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>(6) Dispositivo específico: na hipótese em que o benefício fiscal for instituído por legislação que trate de outra matéria, preencher este campo com o dispositivo específico da legislação que os instituiu</w:t>
      </w:r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 xml:space="preserve">(7) Data da publicação no DOE: informar a data de publicação do ato no diário oficial da unidade federada declarante, no formato </w:t>
      </w:r>
      <w:proofErr w:type="spellStart"/>
      <w:r w:rsidRPr="000E6357">
        <w:rPr>
          <w:rFonts w:ascii="Century Gothic" w:hAnsi="Century Gothic"/>
          <w:sz w:val="16"/>
          <w:szCs w:val="16"/>
        </w:rPr>
        <w:t>dd</w:t>
      </w:r>
      <w:proofErr w:type="spellEnd"/>
      <w:r w:rsidRPr="000E6357">
        <w:rPr>
          <w:rFonts w:ascii="Century Gothic" w:hAnsi="Century Gothic"/>
          <w:sz w:val="16"/>
          <w:szCs w:val="16"/>
        </w:rPr>
        <w:t>/mm/</w:t>
      </w:r>
      <w:proofErr w:type="spellStart"/>
      <w:r w:rsidRPr="000E6357">
        <w:rPr>
          <w:rFonts w:ascii="Century Gothic" w:hAnsi="Century Gothic"/>
          <w:sz w:val="16"/>
          <w:szCs w:val="16"/>
        </w:rPr>
        <w:t>aaaa</w:t>
      </w:r>
      <w:proofErr w:type="spellEnd"/>
    </w:p>
    <w:p w:rsidR="000E6357" w:rsidRPr="000E6357" w:rsidRDefault="000E6357" w:rsidP="000E6357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 xml:space="preserve">(8) Termo Inicial: informar o termo inicial de produção de efeitos do ato normativo, no formato </w:t>
      </w:r>
      <w:proofErr w:type="spellStart"/>
      <w:r w:rsidRPr="000E6357">
        <w:rPr>
          <w:rFonts w:ascii="Century Gothic" w:hAnsi="Century Gothic"/>
          <w:sz w:val="16"/>
          <w:szCs w:val="16"/>
        </w:rPr>
        <w:t>dd</w:t>
      </w:r>
      <w:proofErr w:type="spellEnd"/>
      <w:r w:rsidRPr="000E6357">
        <w:rPr>
          <w:rFonts w:ascii="Century Gothic" w:hAnsi="Century Gothic"/>
          <w:sz w:val="16"/>
          <w:szCs w:val="16"/>
        </w:rPr>
        <w:t>/mm/</w:t>
      </w:r>
      <w:proofErr w:type="spellStart"/>
      <w:r w:rsidRPr="000E6357">
        <w:rPr>
          <w:rFonts w:ascii="Century Gothic" w:hAnsi="Century Gothic"/>
          <w:sz w:val="16"/>
          <w:szCs w:val="16"/>
        </w:rPr>
        <w:t>aaaa</w:t>
      </w:r>
      <w:proofErr w:type="spellEnd"/>
    </w:p>
    <w:p w:rsidR="000E6357" w:rsidRPr="000E6357" w:rsidRDefault="000E6357" w:rsidP="000E6357">
      <w:pPr>
        <w:jc w:val="both"/>
        <w:rPr>
          <w:rFonts w:ascii="Century Gothic" w:hAnsi="Century Gothic"/>
          <w:sz w:val="16"/>
          <w:szCs w:val="16"/>
        </w:rPr>
      </w:pPr>
      <w:r w:rsidRPr="000E6357">
        <w:rPr>
          <w:rFonts w:ascii="Century Gothic" w:hAnsi="Century Gothic"/>
          <w:sz w:val="16"/>
          <w:szCs w:val="16"/>
        </w:rPr>
        <w:t xml:space="preserve">(9) Observações: Indicação das alterações ocorridas no ato normativo </w:t>
      </w:r>
      <w:proofErr w:type="spellStart"/>
      <w:r w:rsidRPr="000E6357">
        <w:rPr>
          <w:rFonts w:ascii="Century Gothic" w:hAnsi="Century Gothic"/>
          <w:sz w:val="16"/>
          <w:szCs w:val="16"/>
        </w:rPr>
        <w:t>orginal</w:t>
      </w:r>
      <w:proofErr w:type="spellEnd"/>
      <w:r w:rsidRPr="000E6357">
        <w:rPr>
          <w:rFonts w:ascii="Century Gothic" w:hAnsi="Century Gothic"/>
          <w:sz w:val="16"/>
          <w:szCs w:val="16"/>
        </w:rPr>
        <w:t xml:space="preserve"> vigente em 8 de agosto de 2017, bem como dispositivo correspondente no RICMS-PR/2017 (Pós 08/08/2017)</w:t>
      </w:r>
    </w:p>
    <w:p w:rsidR="000E6357" w:rsidRPr="000E6357" w:rsidRDefault="000E6357" w:rsidP="000E6357">
      <w:pPr>
        <w:jc w:val="right"/>
        <w:rPr>
          <w:rFonts w:ascii="Century Gothic" w:hAnsi="Century Gothic"/>
        </w:rPr>
      </w:pPr>
      <w:r w:rsidRPr="000E6357">
        <w:rPr>
          <w:rFonts w:ascii="Century Gothic" w:hAnsi="Century Gothic"/>
        </w:rPr>
        <w:t>117067/2018</w:t>
      </w:r>
    </w:p>
    <w:sectPr w:rsidR="000E6357" w:rsidRPr="000E6357" w:rsidSect="00853D4C">
      <w:headerReference w:type="default" r:id="rId7"/>
      <w:footerReference w:type="default" r:id="rId8"/>
      <w:pgSz w:w="11907" w:h="16840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57" w:rsidRDefault="000E6357" w:rsidP="00406A0D">
      <w:pPr>
        <w:spacing w:after="0" w:line="240" w:lineRule="auto"/>
      </w:pPr>
      <w:r>
        <w:separator/>
      </w:r>
    </w:p>
  </w:endnote>
  <w:endnote w:type="continuationSeparator" w:id="0">
    <w:p w:rsidR="000E6357" w:rsidRDefault="000E6357" w:rsidP="004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57" w:rsidRPr="00E0255F" w:rsidRDefault="000E6357" w:rsidP="001060CB">
    <w:pPr>
      <w:pStyle w:val="Rodap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Atualizado</w:t>
    </w:r>
    <w:r w:rsidR="009E45FD">
      <w:rPr>
        <w:rFonts w:ascii="Century Gothic" w:hAnsi="Century Gothic"/>
        <w:sz w:val="20"/>
        <w:szCs w:val="20"/>
      </w:rPr>
      <w:t xml:space="preserve"> novem</w:t>
    </w:r>
    <w:r>
      <w:rPr>
        <w:rFonts w:ascii="Century Gothic" w:hAnsi="Century Gothic"/>
        <w:sz w:val="20"/>
        <w:szCs w:val="20"/>
      </w:rPr>
      <w:t>bro</w:t>
    </w:r>
    <w:r w:rsidRPr="00406A0D">
      <w:rPr>
        <w:rFonts w:ascii="Century Gothic" w:hAnsi="Century Gothic"/>
        <w:sz w:val="20"/>
        <w:szCs w:val="20"/>
      </w:rPr>
      <w:t>/201</w:t>
    </w:r>
    <w:r>
      <w:rPr>
        <w:rFonts w:ascii="Century Gothic" w:hAnsi="Century Gothic"/>
        <w:sz w:val="20"/>
        <w:szCs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57" w:rsidRDefault="000E6357" w:rsidP="00406A0D">
      <w:pPr>
        <w:spacing w:after="0" w:line="240" w:lineRule="auto"/>
      </w:pPr>
      <w:r>
        <w:separator/>
      </w:r>
    </w:p>
  </w:footnote>
  <w:footnote w:type="continuationSeparator" w:id="0">
    <w:p w:rsidR="000E6357" w:rsidRDefault="000E6357" w:rsidP="004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57" w:rsidRPr="00406A0D" w:rsidRDefault="000E6357">
    <w:pPr>
      <w:pStyle w:val="Cabealho"/>
      <w:rPr>
        <w:rFonts w:ascii="Century Gothic" w:hAnsi="Century Gothic"/>
        <w:sz w:val="20"/>
        <w:szCs w:val="20"/>
      </w:rPr>
    </w:pPr>
    <w:r w:rsidRPr="00406A0D">
      <w:rPr>
        <w:rFonts w:ascii="Century Gothic" w:hAnsi="Century Gothic"/>
        <w:sz w:val="20"/>
        <w:szCs w:val="20"/>
      </w:rPr>
      <w:t>Este texto não substitui o publicado no D.O.U. e D.O.E.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3CD"/>
    <w:rsid w:val="00001403"/>
    <w:rsid w:val="00031DAD"/>
    <w:rsid w:val="0004229C"/>
    <w:rsid w:val="00050523"/>
    <w:rsid w:val="000657E2"/>
    <w:rsid w:val="00070C6F"/>
    <w:rsid w:val="000940D1"/>
    <w:rsid w:val="000A21D8"/>
    <w:rsid w:val="000B0A46"/>
    <w:rsid w:val="000B4106"/>
    <w:rsid w:val="000E6357"/>
    <w:rsid w:val="000E726B"/>
    <w:rsid w:val="001060CB"/>
    <w:rsid w:val="001154CB"/>
    <w:rsid w:val="0012725A"/>
    <w:rsid w:val="001558F7"/>
    <w:rsid w:val="00163188"/>
    <w:rsid w:val="0016712F"/>
    <w:rsid w:val="001A2E80"/>
    <w:rsid w:val="001A7169"/>
    <w:rsid w:val="001C0D92"/>
    <w:rsid w:val="002018B4"/>
    <w:rsid w:val="00212C13"/>
    <w:rsid w:val="00213956"/>
    <w:rsid w:val="00214D7D"/>
    <w:rsid w:val="00216C78"/>
    <w:rsid w:val="00221E2D"/>
    <w:rsid w:val="002439DA"/>
    <w:rsid w:val="00252C15"/>
    <w:rsid w:val="00264FB7"/>
    <w:rsid w:val="0027112D"/>
    <w:rsid w:val="00274EB2"/>
    <w:rsid w:val="002763F7"/>
    <w:rsid w:val="00284DFC"/>
    <w:rsid w:val="0028580B"/>
    <w:rsid w:val="002C5281"/>
    <w:rsid w:val="002F2544"/>
    <w:rsid w:val="002F2F91"/>
    <w:rsid w:val="003119E3"/>
    <w:rsid w:val="00323B35"/>
    <w:rsid w:val="00326139"/>
    <w:rsid w:val="00335AA8"/>
    <w:rsid w:val="00365DD8"/>
    <w:rsid w:val="003A50BC"/>
    <w:rsid w:val="003A7ABA"/>
    <w:rsid w:val="003D28F0"/>
    <w:rsid w:val="003D3B0F"/>
    <w:rsid w:val="003D7321"/>
    <w:rsid w:val="0040187F"/>
    <w:rsid w:val="00406A0D"/>
    <w:rsid w:val="00411030"/>
    <w:rsid w:val="0041465F"/>
    <w:rsid w:val="00421180"/>
    <w:rsid w:val="0044009B"/>
    <w:rsid w:val="00447CF8"/>
    <w:rsid w:val="00454440"/>
    <w:rsid w:val="00457866"/>
    <w:rsid w:val="00467C3C"/>
    <w:rsid w:val="00477861"/>
    <w:rsid w:val="0048639F"/>
    <w:rsid w:val="004B6F48"/>
    <w:rsid w:val="00522E7F"/>
    <w:rsid w:val="005331F6"/>
    <w:rsid w:val="005332E9"/>
    <w:rsid w:val="0053641F"/>
    <w:rsid w:val="00550B83"/>
    <w:rsid w:val="005563E5"/>
    <w:rsid w:val="00574A23"/>
    <w:rsid w:val="005B1499"/>
    <w:rsid w:val="005E33E6"/>
    <w:rsid w:val="00602E85"/>
    <w:rsid w:val="00610B69"/>
    <w:rsid w:val="00613A7A"/>
    <w:rsid w:val="006163E4"/>
    <w:rsid w:val="0062676D"/>
    <w:rsid w:val="00647E00"/>
    <w:rsid w:val="0065044E"/>
    <w:rsid w:val="006A29AC"/>
    <w:rsid w:val="006A4720"/>
    <w:rsid w:val="0071316E"/>
    <w:rsid w:val="00724614"/>
    <w:rsid w:val="00733AB6"/>
    <w:rsid w:val="00744737"/>
    <w:rsid w:val="00765A93"/>
    <w:rsid w:val="007753CD"/>
    <w:rsid w:val="00793F49"/>
    <w:rsid w:val="007A1E91"/>
    <w:rsid w:val="007A3C02"/>
    <w:rsid w:val="007A6612"/>
    <w:rsid w:val="007B0993"/>
    <w:rsid w:val="007B4038"/>
    <w:rsid w:val="007D7298"/>
    <w:rsid w:val="007D7432"/>
    <w:rsid w:val="007E4550"/>
    <w:rsid w:val="008306B6"/>
    <w:rsid w:val="00853D4C"/>
    <w:rsid w:val="00856FF4"/>
    <w:rsid w:val="0087706B"/>
    <w:rsid w:val="0087762F"/>
    <w:rsid w:val="00880436"/>
    <w:rsid w:val="008823A7"/>
    <w:rsid w:val="008C645E"/>
    <w:rsid w:val="00923204"/>
    <w:rsid w:val="00930BD7"/>
    <w:rsid w:val="00931230"/>
    <w:rsid w:val="00950D38"/>
    <w:rsid w:val="0095584E"/>
    <w:rsid w:val="00961AF9"/>
    <w:rsid w:val="0098699F"/>
    <w:rsid w:val="00986BA2"/>
    <w:rsid w:val="009A6D2C"/>
    <w:rsid w:val="009E45FD"/>
    <w:rsid w:val="009F40B9"/>
    <w:rsid w:val="00A15AD1"/>
    <w:rsid w:val="00A25240"/>
    <w:rsid w:val="00A45F93"/>
    <w:rsid w:val="00A472BB"/>
    <w:rsid w:val="00A9470C"/>
    <w:rsid w:val="00AA0C24"/>
    <w:rsid w:val="00AA7E2C"/>
    <w:rsid w:val="00AC2718"/>
    <w:rsid w:val="00AD4807"/>
    <w:rsid w:val="00AD699B"/>
    <w:rsid w:val="00B1390C"/>
    <w:rsid w:val="00B22E71"/>
    <w:rsid w:val="00B24A2B"/>
    <w:rsid w:val="00B337AF"/>
    <w:rsid w:val="00B5041C"/>
    <w:rsid w:val="00B557DF"/>
    <w:rsid w:val="00B7127A"/>
    <w:rsid w:val="00B72DF3"/>
    <w:rsid w:val="00B80B7F"/>
    <w:rsid w:val="00B8415E"/>
    <w:rsid w:val="00BA5729"/>
    <w:rsid w:val="00BB6143"/>
    <w:rsid w:val="00BC11A2"/>
    <w:rsid w:val="00BD771D"/>
    <w:rsid w:val="00BF76A6"/>
    <w:rsid w:val="00C23C76"/>
    <w:rsid w:val="00C24F8A"/>
    <w:rsid w:val="00C63BB3"/>
    <w:rsid w:val="00C942F0"/>
    <w:rsid w:val="00CA41D1"/>
    <w:rsid w:val="00D0778D"/>
    <w:rsid w:val="00D213D5"/>
    <w:rsid w:val="00D22A39"/>
    <w:rsid w:val="00D56BFA"/>
    <w:rsid w:val="00D65523"/>
    <w:rsid w:val="00D80EAB"/>
    <w:rsid w:val="00D84D5B"/>
    <w:rsid w:val="00DA06B8"/>
    <w:rsid w:val="00DA6006"/>
    <w:rsid w:val="00DC3437"/>
    <w:rsid w:val="00DC697A"/>
    <w:rsid w:val="00DC6D2D"/>
    <w:rsid w:val="00DE190A"/>
    <w:rsid w:val="00E00F7F"/>
    <w:rsid w:val="00E0255F"/>
    <w:rsid w:val="00E121B8"/>
    <w:rsid w:val="00E17086"/>
    <w:rsid w:val="00E241C7"/>
    <w:rsid w:val="00E34BCF"/>
    <w:rsid w:val="00E6371D"/>
    <w:rsid w:val="00E72EBF"/>
    <w:rsid w:val="00EA5269"/>
    <w:rsid w:val="00EB3B93"/>
    <w:rsid w:val="00EC7079"/>
    <w:rsid w:val="00EF2EEA"/>
    <w:rsid w:val="00EF32D5"/>
    <w:rsid w:val="00F16A5C"/>
    <w:rsid w:val="00F17C3C"/>
    <w:rsid w:val="00F21DA3"/>
    <w:rsid w:val="00F4584A"/>
    <w:rsid w:val="00F50198"/>
    <w:rsid w:val="00F616B5"/>
    <w:rsid w:val="00F66F5E"/>
    <w:rsid w:val="00F677E8"/>
    <w:rsid w:val="00F80AE5"/>
    <w:rsid w:val="00F85E74"/>
    <w:rsid w:val="00FA2B6A"/>
    <w:rsid w:val="00FA6CA9"/>
    <w:rsid w:val="00FB274C"/>
    <w:rsid w:val="00FD72FE"/>
    <w:rsid w:val="00FE53F2"/>
    <w:rsid w:val="00FE61BE"/>
    <w:rsid w:val="00FF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7A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6A0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06A0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6A0D"/>
    <w:rPr>
      <w:sz w:val="22"/>
      <w:szCs w:val="22"/>
      <w:lang w:eastAsia="en-US"/>
    </w:rPr>
  </w:style>
  <w:style w:type="character" w:customStyle="1" w:styleId="apple-converted-space">
    <w:name w:val="apple-converted-space"/>
    <w:rsid w:val="0016712F"/>
  </w:style>
  <w:style w:type="character" w:styleId="Hyperlink">
    <w:name w:val="Hyperlink"/>
    <w:uiPriority w:val="99"/>
    <w:semiHidden/>
    <w:unhideWhenUsed/>
    <w:rsid w:val="0016712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F2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2351-F257-4284-A156-14B09740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ABIHPEC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Campos - ABIHPEC</dc:creator>
  <cp:lastModifiedBy>thais</cp:lastModifiedBy>
  <cp:revision>3</cp:revision>
  <dcterms:created xsi:type="dcterms:W3CDTF">2018-11-12T13:47:00Z</dcterms:created>
  <dcterms:modified xsi:type="dcterms:W3CDTF">2018-11-12T14:16:00Z</dcterms:modified>
</cp:coreProperties>
</file>